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8C" w:rsidRPr="00AB1BAD" w:rsidRDefault="00A02E4C" w:rsidP="0033398C">
      <w:pPr>
        <w:pStyle w:val="p17"/>
        <w:spacing w:before="0" w:after="0" w:line="600" w:lineRule="exact"/>
        <w:jc w:val="center"/>
        <w:rPr>
          <w:rFonts w:ascii="方正小标宋_GBK" w:eastAsia="方正小标宋_GBK"/>
          <w:color w:val="000000"/>
          <w:spacing w:val="12"/>
          <w:sz w:val="44"/>
          <w:szCs w:val="44"/>
        </w:rPr>
      </w:pPr>
      <w:r w:rsidRPr="00AB1BAD">
        <w:rPr>
          <w:rFonts w:ascii="方正小标宋_GBK" w:eastAsia="方正小标宋_GBK" w:hint="eastAsia"/>
          <w:color w:val="000000"/>
          <w:spacing w:val="12"/>
          <w:sz w:val="44"/>
          <w:szCs w:val="44"/>
        </w:rPr>
        <w:t>“</w:t>
      </w:r>
      <w:r w:rsidR="0033398C" w:rsidRPr="00AB1BAD">
        <w:rPr>
          <w:rFonts w:ascii="方正小标宋_GBK" w:eastAsia="方正小标宋_GBK" w:hint="eastAsia"/>
          <w:color w:val="000000"/>
          <w:spacing w:val="12"/>
          <w:sz w:val="44"/>
          <w:szCs w:val="44"/>
        </w:rPr>
        <w:t>书香润泽人生”</w:t>
      </w:r>
    </w:p>
    <w:p w:rsidR="0033398C" w:rsidRDefault="0033398C" w:rsidP="0033398C">
      <w:pPr>
        <w:pStyle w:val="p17"/>
        <w:spacing w:before="0" w:after="0" w:line="600" w:lineRule="exact"/>
        <w:jc w:val="center"/>
        <w:rPr>
          <w:rFonts w:ascii="方正小标宋_GBK" w:eastAsia="方正小标宋_GBK"/>
          <w:color w:val="000000"/>
          <w:spacing w:val="12"/>
          <w:sz w:val="44"/>
          <w:szCs w:val="44"/>
        </w:rPr>
      </w:pPr>
      <w:r w:rsidRPr="00AB1BAD">
        <w:rPr>
          <w:rFonts w:ascii="方正小标宋_GBK" w:eastAsia="方正小标宋_GBK" w:hint="eastAsia"/>
          <w:color w:val="000000"/>
          <w:spacing w:val="12"/>
          <w:sz w:val="44"/>
          <w:szCs w:val="44"/>
        </w:rPr>
        <w:t>新乡医学院统一战线读书活动</w:t>
      </w:r>
      <w:r>
        <w:rPr>
          <w:rFonts w:ascii="方正小标宋_GBK" w:eastAsia="方正小标宋_GBK" w:hint="eastAsia"/>
          <w:color w:val="000000"/>
          <w:spacing w:val="12"/>
          <w:sz w:val="44"/>
          <w:szCs w:val="44"/>
        </w:rPr>
        <w:t>推荐书单</w:t>
      </w:r>
    </w:p>
    <w:p w:rsidR="0033398C" w:rsidRPr="00AB1BAD" w:rsidRDefault="0033398C" w:rsidP="0033398C">
      <w:pPr>
        <w:pStyle w:val="p17"/>
        <w:spacing w:before="0" w:after="0" w:line="600" w:lineRule="exact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</w:p>
    <w:p w:rsidR="0033398C" w:rsidRPr="00555B94" w:rsidRDefault="0033398C" w:rsidP="0033398C">
      <w:pPr>
        <w:pStyle w:val="p17"/>
        <w:spacing w:before="0" w:after="0" w:line="600" w:lineRule="exact"/>
        <w:jc w:val="both"/>
        <w:rPr>
          <w:rFonts w:ascii="黑体" w:eastAsia="黑体"/>
          <w:color w:val="000000"/>
          <w:spacing w:val="12"/>
          <w:sz w:val="32"/>
          <w:szCs w:val="32"/>
        </w:rPr>
      </w:pPr>
      <w:r w:rsidRPr="00AB1BAD">
        <w:rPr>
          <w:rFonts w:ascii="仿宋_GB2312" w:eastAsia="仿宋_GB2312" w:hint="eastAsia"/>
          <w:color w:val="000000"/>
          <w:spacing w:val="12"/>
          <w:sz w:val="32"/>
          <w:szCs w:val="32"/>
        </w:rPr>
        <w:t xml:space="preserve">　　</w:t>
      </w:r>
      <w:r w:rsidRPr="00555B94">
        <w:rPr>
          <w:rFonts w:ascii="黑体" w:eastAsia="黑体" w:hint="eastAsia"/>
          <w:color w:val="000000"/>
          <w:spacing w:val="12"/>
          <w:sz w:val="32"/>
          <w:szCs w:val="32"/>
        </w:rPr>
        <w:t>一、</w:t>
      </w:r>
      <w:r>
        <w:rPr>
          <w:rFonts w:ascii="黑体" w:eastAsia="黑体" w:hint="eastAsia"/>
          <w:color w:val="000000"/>
          <w:spacing w:val="12"/>
          <w:sz w:val="32"/>
          <w:szCs w:val="32"/>
        </w:rPr>
        <w:t>哲学类</w:t>
      </w:r>
    </w:p>
    <w:p w:rsidR="00E46500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【入门级/初级】</w:t>
      </w:r>
    </w:p>
    <w:p w:rsidR="00E46500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1.《西方哲学史》，希尔贝克或《西方哲学史》，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梯利或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《西方哲学简史》，赵敦华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2.《西方哲学原著选读》，商务印书馆。看了上述任何一本就必要把它从头看到尾，当参考书。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3.《理想国》《斐多篇》，柏拉图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4.《形而上学》《范畴篇》，亚里士多德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5.《第一哲学沉思集》，笛卡尔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6.《人类理解论》，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洛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克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7.《伦理学》，斯宾诺莎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8.《纯粹理性批判》，康德。耐心通读，可以参考注解版。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9.《小逻辑》，黑格尔。耐心通读。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10.《作为意志和表象的世界》，叔本华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11.《查拉图斯特拉如是说》，尼采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12.《上帝新脑》，彭罗斯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13.《中世纪文艺复兴时期哲学》，余碧平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14.《中国哲学史》，冯友兰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15.《老子》《庄子》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lastRenderedPageBreak/>
        <w:t>16.《中庸》《大学》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17.《华严金狮子章校释》，法藏，中华书局版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18.《宋明理学教程》，陈来</w:t>
      </w:r>
    </w:p>
    <w:p w:rsidR="00792E3E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19.</w:t>
      </w:r>
      <w:r w:rsidR="00792E3E">
        <w:rPr>
          <w:rFonts w:ascii="仿宋_GB2312" w:eastAsia="仿宋_GB2312"/>
          <w:color w:val="000000"/>
          <w:spacing w:val="12"/>
          <w:sz w:val="32"/>
          <w:szCs w:val="32"/>
        </w:rPr>
        <w:t>《印度宗教哲学概论》，姚卫</w:t>
      </w:r>
    </w:p>
    <w:p w:rsidR="00B666FF" w:rsidRDefault="00B666FF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【进阶】对于西哲，读者从这里要开始把重点投入到近现代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——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现代哲学上。（至少完成70%）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1.《人类理解研究》/《人性论》，休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谟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。时间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充裕看后者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，反之前者。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2.《实践理性批判》《判断力批判》，康德。挑重点章节即可。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3.《创造进化论》，柏格森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4.《实用主义》，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詹姆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士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5.《心的分析》，罗素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6.《纯粹现象学通论》，胡塞尔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7.《存在与时间》，海德格尔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8.《存在与虚无》，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萨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特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9.《逻辑哲学论》《哲学研究》，维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特根斯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坦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10.《语词和对象》，蒯因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11.《对莱布尼茨哲学的批评性解释》，罗素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12.《普通认识论》，石里克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13.《科学发现的逻辑》，波普尔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14.《科学革命的结构》，库恩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lastRenderedPageBreak/>
        <w:t>15.《无根基的知识》，费耶阿本德。比照13、14，审慎度量本书观点。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16.《古典文明癫狂史》，福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柯</w:t>
      </w:r>
      <w:proofErr w:type="gramEnd"/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17.《书写与差异》，德里达。对于社科/文学基础不足的人来说颇有难度。本书是个论文集，挑能懂的篇目看。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18.《声音与现象》，德里达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19.《真理与方法》，伽达默尔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20.《当代法国哲学》《当代德国哲学》《当代英美哲学》，人民出版社。复旦俞吾金主编，三本加起来基本完成现代欧陆和分析哲学的重点梳理。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21.《西方马克思主义哲学概论》，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衣俊卿</w:t>
      </w:r>
      <w:proofErr w:type="gramEnd"/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22.《结构主义》，皮亚杰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23.《中国哲学十九讲》，牟宗三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24.《中国现代哲学通论》，宋志明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25.《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列子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》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26.《论衡》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27.《王弼集校释》，中华书局版。含周易注，可同时涉足《周易》。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28.《南华真经注疏》，中华书局版。含郭象庄子注和成玄英庄子疏。重要。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29.《肇论校释》，中华书局版。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30.《近思录》，朱熹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lastRenderedPageBreak/>
        <w:t>31.《传习录》，王守仁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32.《佛教逻辑》，舍尔巴茨基。重要。</w:t>
      </w:r>
    </w:p>
    <w:p w:rsidR="00B666FF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 w:hint="eastAsia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33.《中论颂》，龙树</w:t>
      </w:r>
    </w:p>
    <w:p w:rsidR="00A02E4C" w:rsidRDefault="00A02E4C" w:rsidP="0033398C">
      <w:pPr>
        <w:pStyle w:val="p17"/>
        <w:spacing w:before="0" w:after="0" w:line="600" w:lineRule="exact"/>
        <w:ind w:firstLine="690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34.《示教千则》，商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羯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罗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另：此阶段完成，整体水平在哲学系研究生（平均水平）以上，但须全面介入数理、现代科学和人文社科的学习，否则阅读障碍将明显表现出来。数理逻辑推荐《逻辑学导论》，陈波和《符号逻辑讲义》，徐明；后者深入得多，前者入门。其他重要的书：《传播学简史》，马特拉；《现代心理学史》，舒尔兹；《精神分析引论》，弗洛伊德；《结构人类学》，列维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·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施特劳斯。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中哲方面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多看看文献，也可以看一些古代散文。自己思考和实践同样重要。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【高阶】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&lt;欧陆&gt;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1.《宗教后的教徒》，费里/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戈谢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2.《千座高原》，德勒兹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3.《感觉的逻辑》，德勒兹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4.《知识考古学》，福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柯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5.《书写与差异》，德里达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lastRenderedPageBreak/>
        <w:t>6.《知觉现象学》，梅洛-庞蒂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7.《解释的冲突》，利科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8.《哲学献文》（中译本作《哲学论稿》），海德格尔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9.《现代性的哲学话语》，哈贝马斯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10.《自由的深渊》，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齐泽克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11.《论萨义德》，单德兴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&lt;英美&gt;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1.《命名与必然性》，克里普克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2.《心灵哲学》，商务印书馆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3.《实在论的多副面孔》，普特南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4.《哲学与自然之镜》，罗蒂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5.《认知的自然起源与演化》，心灵与认知文丛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6.《意识的解释》，心灵与认知文丛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7.《全球脑的量子跃迁》，拉兹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洛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8.《神经科学的哲学基础》，贝内特&amp;哈克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9.《认知语用学》，巴拉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br/>
        <w:t>另：本阶段推荐书目仅作引子，学人可以完全任意地拓展思路。对其它学科需要掌握的内容，推荐书目如下：彭罗斯《通向实在之路》，罗素《数学原理》，北大出版社《认知神经科学导论》、上海教育出版社《社会建构论心理学》、《联结主义认知心理学》，冯志伟《现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lastRenderedPageBreak/>
        <w:t>代语言学流派》以及认知心理学、进化心理学的相关内容。经济学、政治学和社会学请参考国内或国外高校教材。除此之外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——</w:t>
      </w:r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请读者注意各学科经典原著的阅读以至于原版书的阅读。欧陆和英美最近的一些前沿研究是没有中译本的。书目以外，本阶段的文献阅读相当重要，推荐读者订阅《哲学研究》和《世界哲学》杂志，了解国内/国际学术前沿。我没有给出任何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中哲和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印度哲学参考书目，读者可以凭借个人能力找来重要的书和文献看，因为在进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阶之后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已经没有什么必读的大著作需要耐心通读了。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中哲要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着重道家玄学、重玄学和佛学，佛学着重天台宗、唯识宗和华严宗；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印哲主要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是佛学。宗喀巴的《密宗道次第广论》和《菩提道次第广论》</w:t>
      </w:r>
      <w:proofErr w:type="gramStart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当做</w:t>
      </w:r>
      <w:proofErr w:type="gramEnd"/>
      <w:r w:rsidRPr="00A02E4C">
        <w:rPr>
          <w:rFonts w:ascii="仿宋_GB2312" w:eastAsia="仿宋_GB2312"/>
          <w:color w:val="000000"/>
          <w:spacing w:val="12"/>
          <w:sz w:val="32"/>
          <w:szCs w:val="32"/>
        </w:rPr>
        <w:t>推荐。个人思想系统的构建最好也在这个阶段逐步开始展开，但须注意其前沿性、逻辑/严谨性与科学性。</w:t>
      </w:r>
    </w:p>
    <w:p w:rsidR="0033398C" w:rsidRPr="00A02E4C" w:rsidRDefault="0033398C" w:rsidP="00A02E4C">
      <w:pPr>
        <w:pStyle w:val="p17"/>
        <w:spacing w:before="0" w:after="0" w:line="600" w:lineRule="exact"/>
        <w:ind w:firstLine="690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</w:p>
    <w:p w:rsidR="00DF6FB4" w:rsidRDefault="0059412B" w:rsidP="00A02E4C">
      <w:pPr>
        <w:pStyle w:val="p17"/>
        <w:spacing w:before="0" w:after="0" w:line="600" w:lineRule="exact"/>
        <w:ind w:firstLine="690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2"/>
          <w:sz w:val="32"/>
          <w:szCs w:val="32"/>
        </w:rPr>
        <w:t>二、管理类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第一类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大师经典德鲁克《管理的实践》、《卓有成效的管理者》、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《管理的使命、责任和实务》、《创新与企业家精神》科林斯的《基业常青》、《从优秀到卓越》、《追求卓越：美国最佳公司管理案例》</w:t>
      </w:r>
      <w:r w:rsid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、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彼得斯的《追求卓越》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明茨伯格的《卓有成效的组织》科特的《领导变革》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、《变革的力量：领导者与管理者的差异》、《变革之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lastRenderedPageBreak/>
        <w:t>心》、《总经理》韦尔奇的《韦尔奇自传》、《赢》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汉默的《企业再造》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雷恩的《管理思想的演变》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波特的《竞争优势》、《竞争战略》、《国家竞争优势》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第二类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经典教材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达夫特的《管理学原理》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罗宾斯的《管理学》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（第</w:t>
      </w: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11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版）希尔的《管理学》格里芬的《管理学》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（第</w:t>
      </w: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9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版）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第三类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案例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lastRenderedPageBreak/>
        <w:t>德鲁克的《德鲁克经典管理案例解析》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《中国本土化管理案例研究》第一辑、第二辑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《哈佛商学院案例精选集》（再选）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</w:p>
    <w:p w:rsidR="0059412B" w:rsidRPr="00B666FF" w:rsidRDefault="0059412B" w:rsidP="00B666FF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第四类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方法论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杰克逊的《系统思考》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丹尼斯·舍伍德的《系统思考》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 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罗伯特·</w:t>
      </w:r>
    </w:p>
    <w:p w:rsidR="0059412B" w:rsidRPr="00B666FF" w:rsidRDefault="0059412B" w:rsidP="0059412B">
      <w:pPr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</w:pP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K.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殷的《案例研究设计与方法》（第</w:t>
      </w:r>
      <w:r w:rsidRPr="00B666FF">
        <w:rPr>
          <w:rFonts w:ascii="仿宋_GB2312" w:eastAsia="仿宋_GB2312" w:hAnsi="宋体" w:cs="宋体"/>
          <w:color w:val="000000"/>
          <w:spacing w:val="12"/>
          <w:kern w:val="0"/>
          <w:sz w:val="32"/>
          <w:szCs w:val="32"/>
        </w:rPr>
        <w:t>3</w:t>
      </w:r>
      <w:r w:rsidRPr="00B666FF">
        <w:rPr>
          <w:rFonts w:ascii="仿宋_GB2312" w:eastAsia="仿宋_GB2312" w:hAnsi="宋体" w:cs="宋体" w:hint="eastAsia"/>
          <w:color w:val="000000"/>
          <w:spacing w:val="12"/>
          <w:kern w:val="0"/>
          <w:sz w:val="32"/>
          <w:szCs w:val="32"/>
        </w:rPr>
        <w:t>版）</w:t>
      </w:r>
    </w:p>
    <w:p w:rsidR="0059412B" w:rsidRPr="00A02E4C" w:rsidRDefault="0059412B" w:rsidP="00A02E4C">
      <w:pPr>
        <w:pStyle w:val="p17"/>
        <w:spacing w:before="0" w:after="0" w:line="600" w:lineRule="exact"/>
        <w:ind w:firstLine="690"/>
        <w:jc w:val="both"/>
        <w:rPr>
          <w:rFonts w:ascii="仿宋_GB2312" w:eastAsia="仿宋_GB2312"/>
          <w:color w:val="000000"/>
          <w:spacing w:val="12"/>
          <w:sz w:val="32"/>
          <w:szCs w:val="32"/>
        </w:rPr>
      </w:pPr>
    </w:p>
    <w:sectPr w:rsidR="0059412B" w:rsidRPr="00A02E4C" w:rsidSect="00DF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C68" w:rsidRDefault="00F66C68" w:rsidP="009F57F7">
      <w:r>
        <w:separator/>
      </w:r>
    </w:p>
  </w:endnote>
  <w:endnote w:type="continuationSeparator" w:id="0">
    <w:p w:rsidR="00F66C68" w:rsidRDefault="00F66C68" w:rsidP="009F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C68" w:rsidRDefault="00F66C68" w:rsidP="009F57F7">
      <w:r>
        <w:separator/>
      </w:r>
    </w:p>
  </w:footnote>
  <w:footnote w:type="continuationSeparator" w:id="0">
    <w:p w:rsidR="00F66C68" w:rsidRDefault="00F66C68" w:rsidP="009F5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98C"/>
    <w:rsid w:val="0033398C"/>
    <w:rsid w:val="004E51EF"/>
    <w:rsid w:val="0059412B"/>
    <w:rsid w:val="00792E3E"/>
    <w:rsid w:val="009F57F7"/>
    <w:rsid w:val="00A02E4C"/>
    <w:rsid w:val="00AB21F5"/>
    <w:rsid w:val="00B666FF"/>
    <w:rsid w:val="00DF6FB4"/>
    <w:rsid w:val="00E46500"/>
    <w:rsid w:val="00F6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3398C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594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F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7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7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389</Words>
  <Characters>2220</Characters>
  <Application>Microsoft Office Word</Application>
  <DocSecurity>0</DocSecurity>
  <Lines>18</Lines>
  <Paragraphs>5</Paragraphs>
  <ScaleCrop>false</ScaleCrop>
  <Company>china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牛军伟</dc:creator>
  <cp:keywords/>
  <dc:description/>
  <cp:lastModifiedBy>牛军伟</cp:lastModifiedBy>
  <cp:revision>5</cp:revision>
  <dcterms:created xsi:type="dcterms:W3CDTF">2015-05-28T09:42:00Z</dcterms:created>
  <dcterms:modified xsi:type="dcterms:W3CDTF">2015-05-29T03:16:00Z</dcterms:modified>
</cp:coreProperties>
</file>